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sidRPr="00D94DE0">
        <w:rPr>
          <w:b/>
        </w:rPr>
        <w:t xml:space="preserve">Форма </w:t>
      </w:r>
      <w:r w:rsidR="00D94DE0" w:rsidRPr="00D94DE0">
        <w:rPr>
          <w:b/>
        </w:rPr>
        <w:t>1</w:t>
      </w:r>
      <w:r w:rsidR="00DB73BA" w:rsidRPr="00D94DE0">
        <w:rPr>
          <w:b/>
        </w:rPr>
        <w:t xml:space="preserve"> «</w:t>
      </w:r>
      <w:r w:rsidR="00DB73BA" w:rsidRPr="003219C8">
        <w:rPr>
          <w:b/>
        </w:rPr>
        <w:t xml:space="preserve">Извещение о проведении </w:t>
      </w:r>
      <w:r w:rsidR="00D94DE0">
        <w:rPr>
          <w:b/>
        </w:rPr>
        <w:t>закупочной процедуры</w:t>
      </w:r>
      <w:r w:rsidR="00DB73BA" w:rsidRPr="003219C8">
        <w:rPr>
          <w:b/>
        </w:rPr>
        <w:t>»</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7C1EDA">
            <w:pPr>
              <w:jc w:val="right"/>
            </w:pPr>
            <w:r w:rsidRPr="003219C8">
              <w:t>Протокол  №</w:t>
            </w:r>
            <w:r w:rsidR="007C1EDA">
              <w:t>58</w:t>
            </w:r>
            <w:r w:rsidRPr="003219C8">
              <w:t xml:space="preserve"> </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7C1EDA">
            <w:pPr>
              <w:jc w:val="right"/>
            </w:pPr>
            <w:r w:rsidRPr="003219C8">
              <w:t>«</w:t>
            </w:r>
            <w:r w:rsidR="007C1EDA">
              <w:t>01</w:t>
            </w:r>
            <w:r w:rsidRPr="003219C8">
              <w:t xml:space="preserve">» </w:t>
            </w:r>
            <w:r w:rsidR="007C1EDA">
              <w:t>апреля</w:t>
            </w:r>
            <w:r w:rsidRPr="00B464F4">
              <w:t xml:space="preserve">  20</w:t>
            </w:r>
            <w:r w:rsidR="004C33EA" w:rsidRPr="00B464F4">
              <w:t>2</w:t>
            </w:r>
            <w:r w:rsidR="00B464F4" w:rsidRPr="00B464F4">
              <w:t>5</w:t>
            </w:r>
            <w:r w:rsidRPr="00B464F4">
              <w:t xml:space="preserve"> г.</w:t>
            </w:r>
          </w:p>
        </w:tc>
      </w:tr>
    </w:tbl>
    <w:p w:rsidR="00DB73BA" w:rsidRPr="003219C8" w:rsidRDefault="00DB73BA" w:rsidP="00DB73BA">
      <w:pPr>
        <w:rPr>
          <w:vanish/>
        </w:rPr>
      </w:pPr>
    </w:p>
    <w:p w:rsidR="00DB73BA" w:rsidRPr="003219C8" w:rsidRDefault="007C1EDA" w:rsidP="00DB73BA">
      <w:r>
        <w:t xml:space="preserve">ЗП </w:t>
      </w:r>
      <w:r w:rsidR="00DB73BA" w:rsidRPr="003219C8">
        <w:t>№</w:t>
      </w:r>
      <w:r>
        <w:t xml:space="preserve">84-СС-2025 </w:t>
      </w:r>
      <w:r w:rsidR="00DB73BA" w:rsidRPr="003219C8">
        <w:t>от «</w:t>
      </w:r>
      <w:proofErr w:type="gramStart"/>
      <w:r>
        <w:t>01</w:t>
      </w:r>
      <w:r w:rsidR="00DB73BA" w:rsidRPr="003219C8">
        <w:t xml:space="preserve">» </w:t>
      </w:r>
      <w:r>
        <w:t xml:space="preserve"> апреля</w:t>
      </w:r>
      <w:proofErr w:type="gramEnd"/>
      <w:r w:rsidR="00DB73BA" w:rsidRPr="00B464F4">
        <w:t>20</w:t>
      </w:r>
      <w:r w:rsidR="004C33EA" w:rsidRPr="00B464F4">
        <w:t>2</w:t>
      </w:r>
      <w:r w:rsidR="00B464F4" w:rsidRPr="00B464F4">
        <w:t>5</w:t>
      </w:r>
      <w:r w:rsidR="00DB73BA" w:rsidRPr="00B464F4">
        <w:t xml:space="preserve"> г.</w:t>
      </w:r>
    </w:p>
    <w:p w:rsidR="00DB73BA" w:rsidRPr="003219C8" w:rsidRDefault="00DB73BA" w:rsidP="00DB73BA">
      <w:pPr>
        <w:jc w:val="both"/>
      </w:pPr>
    </w:p>
    <w:p w:rsidR="001F6A0B" w:rsidRDefault="0059414C" w:rsidP="00FF4C4C">
      <w:pPr>
        <w:ind w:firstLine="709"/>
        <w:jc w:val="both"/>
      </w:pPr>
      <w:r w:rsidRPr="008452C7">
        <w:t>ПАО</w:t>
      </w:r>
      <w:r w:rsidR="00E52E61" w:rsidRPr="008452C7">
        <w:t xml:space="preserve"> «Славнефть-ЯНОС»</w:t>
      </w:r>
      <w:r w:rsidR="00E52E61">
        <w:t xml:space="preserve"> </w:t>
      </w:r>
      <w:r w:rsidR="004449B3">
        <w:t xml:space="preserve">(далее – Общество) </w:t>
      </w:r>
      <w:r w:rsidR="00E52E61">
        <w:t>приглашает В</w:t>
      </w:r>
      <w:r w:rsidR="001F6A0B">
        <w:t xml:space="preserve">ас </w:t>
      </w:r>
      <w:r w:rsidR="00E85415">
        <w:t>принять участи</w:t>
      </w:r>
      <w:r w:rsidR="007100B9">
        <w:t>е</w:t>
      </w:r>
      <w:r w:rsidR="00E85415">
        <w:t xml:space="preserve"> в закупочной процедуре</w:t>
      </w:r>
      <w:r w:rsidR="001F6A0B">
        <w:t xml:space="preserve"> на </w:t>
      </w:r>
      <w:r w:rsidR="001F6A0B" w:rsidRPr="004B6258">
        <w:t xml:space="preserve">поставку </w:t>
      </w:r>
      <w:r w:rsidR="00A53594" w:rsidRPr="00A53594">
        <w:t>шкаф</w:t>
      </w:r>
      <w:r w:rsidR="00A53594">
        <w:t>ов систем</w:t>
      </w:r>
      <w:r w:rsidR="00A53594" w:rsidRPr="00A53594">
        <w:t xml:space="preserve"> вибромониторинга для ЛЧ-24/7</w:t>
      </w:r>
      <w:r w:rsidR="000E3EF7">
        <w:t xml:space="preserve"> </w:t>
      </w:r>
      <w:r w:rsidR="00A53594">
        <w:t xml:space="preserve">                                 </w:t>
      </w:r>
      <w:r w:rsidR="00FC15D4">
        <w:t>ПАО</w:t>
      </w:r>
      <w:r w:rsidR="00FC15D4" w:rsidRPr="0027313C">
        <w:t xml:space="preserve"> «Славнефть-ЯНОС»</w:t>
      </w:r>
      <w:r w:rsidR="009869C3">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 xml:space="preserve">ваний документации о закупке (форма </w:t>
      </w:r>
      <w:r w:rsidR="006A0642">
        <w:t>2</w:t>
      </w:r>
      <w:r w:rsidR="001F6A0B">
        <w:t>): соответствие заказной документации, максимальный объем поставки, минимальные сроки поставки, наименьшая цена и прочее.</w:t>
      </w:r>
    </w:p>
    <w:p w:rsidR="00F029E7" w:rsidRPr="00CA4420" w:rsidRDefault="00EE1E8F" w:rsidP="00F029E7">
      <w:pPr>
        <w:ind w:firstLine="720"/>
        <w:contextualSpacing/>
        <w:jc w:val="both"/>
      </w:pPr>
      <w:r>
        <w:t>Оферта должна</w:t>
      </w:r>
      <w:r w:rsidR="00F029E7" w:rsidRPr="00455CB1">
        <w:t xml:space="preserve"> быть пре</w:t>
      </w:r>
      <w:r w:rsidR="00F029E7">
        <w:t>дставлена на всю номенклатуру МТР</w:t>
      </w:r>
      <w:r w:rsidR="002534BF">
        <w:t>, указанную</w:t>
      </w:r>
      <w:r w:rsidR="00F029E7" w:rsidRPr="00455CB1">
        <w:t xml:space="preserve"> в Требованиях к предмету оферты</w:t>
      </w:r>
      <w:r w:rsidR="00F029E7">
        <w:t>.</w:t>
      </w:r>
      <w:r w:rsidR="00F029E7"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w:t>
      </w:r>
      <w:r w:rsidR="00A806A6">
        <w:t>й</w:t>
      </w:r>
      <w:r>
        <w:t xml:space="preserve"> </w:t>
      </w:r>
      <w:r w:rsidR="00A806A6">
        <w:t>закупочной процедуры</w:t>
      </w:r>
      <w:r>
        <w:t xml:space="preserve">, в процессе проведения тендера и подписании договора по итогам тендера без внесения изменений в </w:t>
      </w:r>
      <w:r w:rsidR="00A806A6">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 xml:space="preserve">Форма </w:t>
      </w:r>
      <w:r w:rsidR="006A0642">
        <w:t>2</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 xml:space="preserve">нию договоре (форма </w:t>
      </w:r>
      <w:r w:rsidR="006A0642">
        <w:t>3</w:t>
      </w:r>
      <w:r>
        <w:t>).</w:t>
      </w:r>
    </w:p>
    <w:p w:rsidR="00A53594" w:rsidRDefault="00A53594" w:rsidP="00A53594">
      <w:pPr>
        <w:ind w:firstLine="709"/>
        <w:jc w:val="both"/>
      </w:pPr>
      <w:r>
        <w:t>Условия проекта договора поставки (форма 3) и проекта договора на выполнение работ (услуг)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указанным проектам договоров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6F2AC8">
        <w:t>документации о закупке</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 xml:space="preserve">документации о закупке (согласно форме </w:t>
      </w:r>
      <w:r w:rsidR="00A53594">
        <w:t>2</w:t>
      </w:r>
      <w:r>
        <w:t>).</w:t>
      </w:r>
    </w:p>
    <w:p w:rsidR="001F6A0B" w:rsidRDefault="001F6A0B" w:rsidP="00FF4C4C">
      <w:pPr>
        <w:ind w:firstLine="709"/>
        <w:jc w:val="both"/>
      </w:pPr>
      <w: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6F2AC8">
        <w:t xml:space="preserve">документации о закупке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w:t>
      </w:r>
      <w:r w:rsidR="00DB03D7">
        <w:t>документации о закупке</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A53594">
        <w:rPr>
          <w:b/>
          <w:u w:val="single"/>
        </w:rPr>
        <w:t>июля</w:t>
      </w:r>
      <w:r w:rsidR="009F309B">
        <w:rPr>
          <w:b/>
          <w:u w:val="single"/>
        </w:rPr>
        <w:t xml:space="preserve"> </w:t>
      </w:r>
      <w:r w:rsidRPr="001B6096">
        <w:rPr>
          <w:b/>
          <w:u w:val="single"/>
        </w:rPr>
        <w:t>20</w:t>
      </w:r>
      <w:r w:rsidR="00135472">
        <w:rPr>
          <w:b/>
          <w:u w:val="single"/>
        </w:rPr>
        <w:t>2</w:t>
      </w:r>
      <w:r w:rsidR="000E3EF7">
        <w:rPr>
          <w:b/>
          <w:u w:val="single"/>
        </w:rPr>
        <w:t>5</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A53594" w:rsidRDefault="00A53594" w:rsidP="00A53594">
      <w:pPr>
        <w:numPr>
          <w:ilvl w:val="0"/>
          <w:numId w:val="7"/>
        </w:numPr>
        <w:ind w:left="0" w:firstLine="851"/>
        <w:jc w:val="both"/>
      </w:pPr>
      <w:r w:rsidRPr="00EA7F54">
        <w:t>Подписанны</w:t>
      </w:r>
      <w:r>
        <w:t>е</w:t>
      </w:r>
      <w:r w:rsidRPr="00EA7F54">
        <w:t xml:space="preserve"> и заверенны</w:t>
      </w:r>
      <w:r>
        <w:t>е</w:t>
      </w:r>
      <w:r w:rsidRPr="00EA7F54">
        <w:t xml:space="preserve"> печатью участника закупки проект</w:t>
      </w:r>
      <w:r>
        <w:t>ы</w:t>
      </w:r>
      <w:r w:rsidRPr="00EA7F54">
        <w:t xml:space="preserve"> договора</w:t>
      </w:r>
      <w:r>
        <w:t xml:space="preserve"> поставки</w:t>
      </w:r>
      <w:r w:rsidRPr="00EA7F54">
        <w:t xml:space="preserve"> с приложением</w:t>
      </w:r>
      <w:r>
        <w:t xml:space="preserve"> (форма 3) и </w:t>
      </w:r>
      <w:r w:rsidRPr="00EA7F54">
        <w:t>проект</w:t>
      </w:r>
      <w:r>
        <w:t>а</w:t>
      </w:r>
      <w:r w:rsidRPr="00EA7F54">
        <w:t xml:space="preserve"> договора</w:t>
      </w:r>
      <w:r>
        <w:t xml:space="preserve"> на выполнение работ (услуг) с приложениями, проекты договоров </w:t>
      </w:r>
      <w:r w:rsidRPr="00677BD2">
        <w:t xml:space="preserve">и протокол разногласий (в случае наличия разногласий) без </w:t>
      </w:r>
      <w:r>
        <w:t>указания информации о стоимости.</w:t>
      </w:r>
    </w:p>
    <w:p w:rsidR="000D681F" w:rsidRDefault="00DB03D7" w:rsidP="00F029E7">
      <w:pPr>
        <w:numPr>
          <w:ilvl w:val="0"/>
          <w:numId w:val="7"/>
        </w:numPr>
        <w:ind w:left="0" w:firstLine="851"/>
        <w:jc w:val="both"/>
      </w:pPr>
      <w:r>
        <w:t>Безотзывная оферта</w:t>
      </w:r>
      <w:r w:rsidR="00D20279">
        <w:t xml:space="preserve"> для т</w:t>
      </w:r>
      <w:r w:rsidR="006A0642">
        <w:t>е</w:t>
      </w:r>
      <w:r w:rsidR="00D20279">
        <w:t>хнической части</w:t>
      </w:r>
      <w:r w:rsidR="006A0642">
        <w:t xml:space="preserve">, </w:t>
      </w:r>
      <w:r w:rsidR="00F029E7" w:rsidRPr="00677BD2">
        <w:t>подписанная уполномоченным лицом и заверенная печатью участника закупки</w:t>
      </w:r>
      <w:r w:rsidR="006A0642">
        <w:t xml:space="preserve"> (Форма 4Т</w:t>
      </w:r>
      <w:r w:rsidR="00F029E7" w:rsidRPr="00677BD2">
        <w:t>)</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6A0642">
        <w:t>7</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rsidR="00FF1D85">
        <w:t>4</w:t>
      </w:r>
      <w:r w:rsidRPr="00677BD2">
        <w:t xml:space="preserve"> (</w:t>
      </w:r>
      <w:r w:rsidR="00FF1D85">
        <w:t>четырех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 xml:space="preserve">в, работ, услуг» утвержденным </w:t>
      </w:r>
      <w:r w:rsidR="00FF1D85" w:rsidRPr="00FF1D85">
        <w:t>03</w:t>
      </w:r>
      <w:r w:rsidR="00FF1D85">
        <w:t>.02.2025</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 xml:space="preserve">ие измененные документы (форма </w:t>
      </w:r>
      <w:r w:rsidR="006A0642">
        <w:t>5</w:t>
      </w:r>
      <w:r>
        <w:t>);</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lastRenderedPageBreak/>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F1D85">
        <w:t xml:space="preserve">, </w:t>
      </w:r>
      <w:r w:rsidR="00F029E7" w:rsidRPr="006A1887">
        <w:t>подписанная уполномоченным лицом и заверенная печатью участника закупки</w:t>
      </w:r>
      <w:r w:rsidR="00FF1D85">
        <w:t xml:space="preserve"> (Форма 4К</w:t>
      </w:r>
      <w:r w:rsidR="00F029E7" w:rsidRPr="006A1887">
        <w:t>);</w:t>
      </w:r>
    </w:p>
    <w:p w:rsidR="00F029E7" w:rsidRPr="006A1887" w:rsidRDefault="00F029E7" w:rsidP="00F029E7">
      <w:pPr>
        <w:numPr>
          <w:ilvl w:val="0"/>
          <w:numId w:val="7"/>
        </w:numPr>
        <w:ind w:left="0" w:firstLine="851"/>
        <w:jc w:val="both"/>
      </w:pPr>
      <w:r>
        <w:t>П</w:t>
      </w:r>
      <w:r w:rsidRPr="00D2157A">
        <w:t xml:space="preserve">одписанный Участником </w:t>
      </w:r>
      <w:r w:rsidR="00A53594">
        <w:t>Договор с Приложением (Форма № 3), договор на выполнение работ (</w:t>
      </w:r>
      <w:proofErr w:type="spellStart"/>
      <w:r w:rsidR="00A53594">
        <w:t>улуг</w:t>
      </w:r>
      <w:proofErr w:type="spellEnd"/>
      <w:r w:rsidR="00A53594">
        <w:t>) с приложениями</w:t>
      </w:r>
      <w:r w:rsidR="003953EE">
        <w:t xml:space="preserve"> с указанием цен</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6A0642">
        <w:t>ения участника тендера (Ф</w:t>
      </w:r>
      <w:r w:rsidR="00D20279">
        <w:t xml:space="preserve">орма </w:t>
      </w:r>
      <w:r w:rsidR="006A0642">
        <w:t>6,</w:t>
      </w:r>
      <w:r w:rsidR="00D20279">
        <w:t xml:space="preserve">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A806A6">
        <w:t>закупочной процедуры</w:t>
      </w:r>
      <w:r w:rsidRPr="00F6005D">
        <w:t xml:space="preserve"> могут дублировать друг друга при условии </w:t>
      </w:r>
      <w:r w:rsidR="00A53594">
        <w:t xml:space="preserve">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настоящем </w:t>
      </w:r>
      <w:r w:rsidR="006F2AC8">
        <w:rPr>
          <w:rFonts w:cs="Arial"/>
          <w:szCs w:val="22"/>
        </w:rPr>
        <w:t>извещении</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B464F4" w:rsidRDefault="00767A97" w:rsidP="00767A97">
      <w:pPr>
        <w:ind w:firstLine="851"/>
        <w:jc w:val="both"/>
        <w:rPr>
          <w:b/>
        </w:rPr>
      </w:pPr>
      <w:r w:rsidRPr="000238B0">
        <w:rPr>
          <w:b/>
        </w:rPr>
        <w:t xml:space="preserve">Начало приема оферт – _________ </w:t>
      </w:r>
      <w:r w:rsidRPr="00B464F4">
        <w:rPr>
          <w:b/>
        </w:rPr>
        <w:t>20</w:t>
      </w:r>
      <w:r w:rsidR="00B464F4" w:rsidRPr="00B464F4">
        <w:rPr>
          <w:b/>
        </w:rPr>
        <w:t>25</w:t>
      </w:r>
      <w:r w:rsidR="004C33EA" w:rsidRPr="00B464F4">
        <w:rPr>
          <w:b/>
        </w:rPr>
        <w:t xml:space="preserve"> </w:t>
      </w:r>
      <w:r w:rsidRPr="00B464F4">
        <w:rPr>
          <w:b/>
        </w:rPr>
        <w:t>г</w:t>
      </w:r>
      <w:r w:rsidR="008061A8" w:rsidRPr="00B464F4">
        <w:rPr>
          <w:b/>
        </w:rPr>
        <w:t>.</w:t>
      </w:r>
      <w:r w:rsidR="000D681F" w:rsidRPr="00B464F4">
        <w:rPr>
          <w:b/>
        </w:rPr>
        <w:t xml:space="preserve"> (указано на ЭТП)</w:t>
      </w:r>
      <w:r w:rsidRPr="00B464F4">
        <w:rPr>
          <w:b/>
        </w:rPr>
        <w:t>.</w:t>
      </w:r>
    </w:p>
    <w:p w:rsidR="00767A97" w:rsidRPr="000238B0" w:rsidRDefault="00767A97" w:rsidP="00767A97">
      <w:pPr>
        <w:ind w:firstLine="851"/>
        <w:jc w:val="both"/>
        <w:rPr>
          <w:b/>
        </w:rPr>
      </w:pPr>
      <w:r w:rsidRPr="00B464F4">
        <w:rPr>
          <w:b/>
        </w:rPr>
        <w:t>Окончание приема оферт – ________ 20</w:t>
      </w:r>
      <w:r w:rsidR="00B464F4" w:rsidRPr="00B464F4">
        <w:rPr>
          <w:b/>
        </w:rPr>
        <w:t>25</w:t>
      </w:r>
      <w:r w:rsidR="004C33EA" w:rsidRPr="00B464F4">
        <w:rPr>
          <w:b/>
        </w:rPr>
        <w:t xml:space="preserve"> </w:t>
      </w:r>
      <w:r w:rsidRPr="00B464F4">
        <w:rPr>
          <w:b/>
        </w:rPr>
        <w:t>г</w:t>
      </w:r>
      <w:r w:rsidR="008061A8" w:rsidRPr="00B464F4">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 xml:space="preserve">» </w:t>
      </w:r>
      <w:r w:rsidR="00A53594">
        <w:rPr>
          <w:b/>
          <w:u w:val="single"/>
        </w:rPr>
        <w:t>июля</w:t>
      </w:r>
      <w:r w:rsidR="00DC0D1D">
        <w:rPr>
          <w:b/>
          <w:u w:val="single"/>
        </w:rPr>
        <w:t xml:space="preserve"> </w:t>
      </w:r>
      <w:r w:rsidRPr="00662B80">
        <w:rPr>
          <w:b/>
          <w:u w:val="single"/>
        </w:rPr>
        <w:t>20</w:t>
      </w:r>
      <w:r w:rsidR="00135472">
        <w:rPr>
          <w:b/>
          <w:u w:val="single"/>
        </w:rPr>
        <w:t>2</w:t>
      </w:r>
      <w:r w:rsidR="000E3EF7">
        <w:rPr>
          <w:b/>
          <w:u w:val="single"/>
        </w:rPr>
        <w:t>5</w:t>
      </w:r>
      <w:r w:rsidR="006D1898">
        <w:rPr>
          <w:b/>
          <w:u w:val="single"/>
        </w:rPr>
        <w:t xml:space="preserve"> </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в </w:t>
      </w:r>
      <w:r w:rsidR="006F2AC8">
        <w:t>документацию о закупке</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7C1EDA">
        <w:t>17</w:t>
      </w:r>
      <w:r>
        <w:t xml:space="preserve">» </w:t>
      </w:r>
      <w:r w:rsidR="007C1EDA">
        <w:t>апреля 2025</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7C1EDA" w:rsidRPr="007C1EDA" w:rsidRDefault="007C1EDA" w:rsidP="007C1EDA">
      <w:pPr>
        <w:spacing w:after="160" w:line="259" w:lineRule="auto"/>
        <w:rPr>
          <w:rFonts w:ascii="Calibri" w:eastAsia="Calibri" w:hAnsi="Calibri"/>
          <w:b/>
          <w:bCs/>
          <w:lang w:eastAsia="en-US"/>
        </w:rPr>
      </w:pPr>
      <w:r w:rsidRPr="007C1EDA">
        <w:rPr>
          <w:rFonts w:ascii="Calibri" w:eastAsia="Calibri" w:hAnsi="Calibri"/>
          <w:b/>
          <w:bCs/>
          <w:lang w:eastAsia="en-US"/>
        </w:rPr>
        <w:t>Специалист Тендерного комитета</w:t>
      </w:r>
    </w:p>
    <w:p w:rsidR="007C1EDA" w:rsidRPr="007C1EDA" w:rsidRDefault="007C1EDA" w:rsidP="007C1EDA">
      <w:pPr>
        <w:spacing w:after="160" w:line="259" w:lineRule="auto"/>
        <w:rPr>
          <w:rFonts w:ascii="Calibri" w:eastAsia="Calibri" w:hAnsi="Calibri"/>
          <w:b/>
          <w:bCs/>
          <w:lang w:eastAsia="en-US"/>
        </w:rPr>
      </w:pPr>
      <w:r w:rsidRPr="007C1EDA">
        <w:rPr>
          <w:rFonts w:ascii="Calibri" w:eastAsia="Calibri" w:hAnsi="Calibri"/>
          <w:b/>
          <w:bCs/>
          <w:lang w:eastAsia="en-US"/>
        </w:rPr>
        <w:t>Сулейманова Ольга Дмитриевна</w:t>
      </w:r>
    </w:p>
    <w:p w:rsidR="007C1EDA" w:rsidRPr="007C1EDA" w:rsidRDefault="007C1EDA" w:rsidP="007C1EDA">
      <w:pPr>
        <w:spacing w:after="160" w:line="259" w:lineRule="auto"/>
        <w:ind w:firstLine="708"/>
        <w:contextualSpacing/>
        <w:jc w:val="both"/>
        <w:rPr>
          <w:b/>
          <w:bCs/>
          <w:color w:val="0000FF"/>
          <w:u w:val="single"/>
        </w:rPr>
      </w:pPr>
      <w:r w:rsidRPr="007C1EDA">
        <w:rPr>
          <w:rFonts w:ascii="Calibri" w:eastAsia="Calibri" w:hAnsi="Calibri"/>
          <w:b/>
          <w:bCs/>
          <w:lang w:eastAsia="en-US"/>
        </w:rPr>
        <w:t xml:space="preserve"> телефон 8 (4852) 49-91-44,  </w:t>
      </w:r>
      <w:r w:rsidRPr="007C1EDA">
        <w:rPr>
          <w:rFonts w:ascii="Calibri" w:eastAsia="Calibri" w:hAnsi="Calibri"/>
          <w:b/>
          <w:bCs/>
          <w:lang w:val="en-US" w:eastAsia="en-US"/>
        </w:rPr>
        <w:t>e</w:t>
      </w:r>
      <w:r w:rsidRPr="007C1EDA">
        <w:rPr>
          <w:rFonts w:ascii="Calibri" w:eastAsia="Calibri" w:hAnsi="Calibri"/>
          <w:b/>
          <w:bCs/>
          <w:lang w:eastAsia="en-US"/>
        </w:rPr>
        <w:t>-</w:t>
      </w:r>
      <w:r w:rsidRPr="007C1EDA">
        <w:rPr>
          <w:rFonts w:ascii="Calibri" w:eastAsia="Calibri" w:hAnsi="Calibri"/>
          <w:b/>
          <w:bCs/>
          <w:lang w:val="en-US" w:eastAsia="en-US"/>
        </w:rPr>
        <w:t>mail</w:t>
      </w:r>
      <w:r w:rsidRPr="007C1EDA">
        <w:rPr>
          <w:rFonts w:ascii="Calibri" w:eastAsia="Calibri" w:hAnsi="Calibri"/>
          <w:b/>
          <w:bCs/>
          <w:lang w:eastAsia="en-US"/>
        </w:rPr>
        <w:t>:</w:t>
      </w:r>
      <w:r w:rsidRPr="007C1EDA">
        <w:rPr>
          <w:b/>
          <w:bCs/>
        </w:rPr>
        <w:t xml:space="preserve"> </w:t>
      </w:r>
      <w:r w:rsidRPr="007C1EDA">
        <w:rPr>
          <w:rFonts w:ascii="Arial" w:hAnsi="Arial"/>
          <w:sz w:val="22"/>
        </w:rPr>
        <w:t xml:space="preserve"> </w:t>
      </w:r>
      <w:hyperlink r:id="rId9" w:history="1">
        <w:r w:rsidRPr="007C1EDA">
          <w:rPr>
            <w:b/>
            <w:bCs/>
            <w:color w:val="0563C1"/>
            <w:u w:val="single"/>
          </w:rPr>
          <w:t>SuleimanovaOD@</w:t>
        </w:r>
        <w:r w:rsidRPr="007C1EDA">
          <w:rPr>
            <w:b/>
            <w:bCs/>
            <w:color w:val="0563C1"/>
            <w:u w:val="single"/>
            <w:lang w:val="en-US"/>
          </w:rPr>
          <w:t>post</w:t>
        </w:r>
        <w:r w:rsidRPr="007C1EDA">
          <w:rPr>
            <w:b/>
            <w:bCs/>
            <w:color w:val="0563C1"/>
            <w:u w:val="single"/>
          </w:rPr>
          <w:t>.yanos.slavneft.ru</w:t>
        </w:r>
      </w:hyperlink>
    </w:p>
    <w:p w:rsidR="007C1EDA" w:rsidRDefault="007C1EDA" w:rsidP="004D6B83">
      <w:pPr>
        <w:ind w:firstLine="709"/>
        <w:jc w:val="both"/>
      </w:pPr>
    </w:p>
    <w:p w:rsidR="001F6A0B" w:rsidRDefault="006F2AC8" w:rsidP="004D6B83">
      <w:pPr>
        <w:ind w:firstLine="709"/>
        <w:jc w:val="both"/>
      </w:pPr>
      <w:bookmarkStart w:id="0" w:name="_GoBack"/>
      <w:bookmarkEnd w:id="0"/>
      <w:r w:rsidRPr="006F2AC8">
        <w:t xml:space="preserve">Изменения, разъяснения и дополнения к документации о закупке </w:t>
      </w:r>
      <w:r w:rsidR="001F6A0B">
        <w:t>для участников закупки</w:t>
      </w:r>
      <w:r>
        <w:t xml:space="preserve">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lastRenderedPageBreak/>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w:t>
      </w:r>
      <w:r w:rsidR="006F2AC8">
        <w:t>документации о закупке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A806A6">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FF1D85" w:rsidP="003D2698">
      <w:pPr>
        <w:ind w:firstLine="708"/>
        <w:jc w:val="both"/>
        <w:rPr>
          <w:rFonts w:cs="Arial"/>
          <w:szCs w:val="22"/>
        </w:rPr>
      </w:pPr>
      <w:r w:rsidRPr="00FF1D85">
        <w:rPr>
          <w:rFonts w:cs="Arial"/>
          <w:szCs w:val="22"/>
        </w:rPr>
        <w:t>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w:t>
      </w:r>
      <w:r>
        <w:rPr>
          <w:rFonts w:cs="Arial"/>
          <w:szCs w:val="22"/>
        </w:rPr>
        <w:t xml:space="preserve">ерт, должны пройти аккредитацию </w:t>
      </w:r>
      <w:r w:rsidRPr="00FF1D85">
        <w:rPr>
          <w:rFonts w:cs="Arial"/>
          <w:szCs w:val="22"/>
        </w:rPr>
        <w:t>в соответствии с правилами, размещенными на</w:t>
      </w:r>
      <w:r>
        <w:rPr>
          <w:rFonts w:cs="Arial"/>
          <w:szCs w:val="22"/>
        </w:rPr>
        <w:t xml:space="preserve"> </w:t>
      </w:r>
      <w:hyperlink r:id="rId10" w:history="1">
        <w:r w:rsidR="003D2698" w:rsidRPr="007D7E8C">
          <w:rPr>
            <w:rStyle w:val="af6"/>
          </w:rPr>
          <w:t>http://www.refinery.yaroslavl.su/index.php?module=tend&amp;page=stop</w:t>
        </w:r>
      </w:hyperlink>
      <w:r w:rsidR="003D2698"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w:t>
      </w:r>
      <w:r w:rsidR="008452C7">
        <w:t xml:space="preserve"> </w:t>
      </w:r>
      <w:r w:rsidR="00EE1E8F" w:rsidRPr="00123101">
        <w:t>ИАО-3006 «О закупке материально-технических ресурсо</w:t>
      </w:r>
      <w:r w:rsidR="00476394">
        <w:t xml:space="preserve">в, работ, услуг» утвержденным </w:t>
      </w:r>
      <w:r w:rsidR="006A0642">
        <w:t>03.02.2025</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 xml:space="preserve">Если участник закупки не выполнил условия </w:t>
      </w:r>
      <w:r w:rsidR="006F2AC8">
        <w:t xml:space="preserve">документации о закупке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В случае если на дату принятия решения о признании победителем кон</w:t>
      </w:r>
      <w:r w:rsidR="001962B3">
        <w:t xml:space="preserve">     </w:t>
      </w:r>
      <w:proofErr w:type="spellStart"/>
      <w:r>
        <w:t>трагент</w:t>
      </w:r>
      <w:proofErr w:type="spellEnd"/>
      <w:r>
        <w:t xml:space="preserve"> (участник закупки) имеет со стороны ПАО «Славнефть-ЯНОС» неурегулированные претензии, предъявленные ему последним не позднее даты публикации </w:t>
      </w:r>
      <w:r w:rsidR="00A806A6">
        <w:t>закупочной процедуры</w:t>
      </w:r>
      <w:r>
        <w:t xml:space="preserve"> (с приложениями) на интернет-сайте ПАО «Славнефть-ЯНОС», Общество оставляет за собой право не признавать данного контрагента победителем тендера.</w:t>
      </w:r>
    </w:p>
    <w:p w:rsidR="006A0642" w:rsidRPr="006A0642" w:rsidRDefault="006A0642" w:rsidP="006A0642">
      <w:pPr>
        <w:ind w:firstLine="708"/>
        <w:jc w:val="both"/>
        <w:rPr>
          <w:color w:val="000000"/>
        </w:rPr>
      </w:pPr>
      <w:r w:rsidRPr="006A0642">
        <w:rPr>
          <w:color w:val="000000"/>
        </w:rPr>
        <w:t xml:space="preserve">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w:t>
      </w:r>
      <w:r w:rsidRPr="006A0642">
        <w:rPr>
          <w:color w:val="000000"/>
        </w:rPr>
        <w:lastRenderedPageBreak/>
        <w:t xml:space="preserve">адрес информации с результатами отбора. Участник закупки вправе обжаловать результаты закупочной процедуры в конкурсной комиссии ПАО «Славнефть-ЯНОС», действия (бездействие) </w:t>
      </w:r>
    </w:p>
    <w:p w:rsidR="006A0642" w:rsidRPr="006A0642" w:rsidRDefault="006A0642" w:rsidP="00FF1D85">
      <w:pPr>
        <w:jc w:val="both"/>
        <w:rPr>
          <w:color w:val="000000"/>
        </w:rPr>
      </w:pPr>
      <w:r w:rsidRPr="006A0642">
        <w:rPr>
          <w:color w:val="000000"/>
        </w:rPr>
        <w:t xml:space="preserve">ПАО «Славнефть-ЯНОС» в рамках проведения тендера, если полагает, что такие действия (бездействие) нарушают его права и законные интересы. Обжалование участником закупки допускается в любое время с момента размещения документации о закупке на интернет-сайте </w:t>
      </w:r>
    </w:p>
    <w:p w:rsidR="006A0642" w:rsidRPr="006A0642" w:rsidRDefault="006A0642" w:rsidP="00FF1D85">
      <w:pPr>
        <w:jc w:val="both"/>
        <w:rPr>
          <w:color w:val="000000"/>
        </w:rPr>
      </w:pPr>
      <w:r w:rsidRPr="006A0642">
        <w:rPr>
          <w:color w:val="000000"/>
        </w:rPr>
        <w:t xml:space="preserve">ПАО «Славнефть-ЯНОС» или ЭТП и не позднее, чем 10 календарных дней со дня размещения информации с итогами проведения тендера или об его отмене на интернет-сайте </w:t>
      </w:r>
      <w:r w:rsidR="00FF1D85">
        <w:rPr>
          <w:color w:val="000000"/>
        </w:rPr>
        <w:t xml:space="preserve">                                              </w:t>
      </w:r>
      <w:r w:rsidRPr="006A0642">
        <w:rPr>
          <w:color w:val="000000"/>
        </w:rPr>
        <w:t>ПАО «Славнефть-ЯНОС».</w:t>
      </w:r>
    </w:p>
    <w:p w:rsidR="006A0642" w:rsidRPr="006A0642" w:rsidRDefault="006A0642" w:rsidP="006A0642">
      <w:pPr>
        <w:ind w:firstLine="708"/>
        <w:jc w:val="both"/>
        <w:rPr>
          <w:color w:val="000000"/>
        </w:rPr>
      </w:pPr>
      <w:r w:rsidRPr="006A0642">
        <w:rPr>
          <w:color w:val="000000"/>
        </w:rPr>
        <w:t xml:space="preserve">Жалоба в письменном виде направляется в тендерный комитет ПАО «Славнефть-ЯНОС» </w:t>
      </w:r>
      <w:r w:rsidR="00FF1D85">
        <w:rPr>
          <w:color w:val="000000"/>
        </w:rPr>
        <w:t xml:space="preserve">на электронный адрес </w:t>
      </w:r>
      <w:r w:rsidR="00FF1D85">
        <w:rPr>
          <w:color w:val="000000"/>
          <w:lang w:val="en-US"/>
        </w:rPr>
        <w:t>post</w:t>
      </w:r>
      <w:r w:rsidR="00FF1D85" w:rsidRPr="00FF1D85">
        <w:rPr>
          <w:color w:val="000000"/>
        </w:rPr>
        <w:t>@</w:t>
      </w:r>
      <w:r w:rsidR="00FF1D85">
        <w:rPr>
          <w:color w:val="000000"/>
          <w:lang w:val="en-US"/>
        </w:rPr>
        <w:t>post</w:t>
      </w:r>
      <w:r w:rsidR="00FF1D85" w:rsidRPr="00FF1D85">
        <w:rPr>
          <w:color w:val="000000"/>
        </w:rPr>
        <w:t>.</w:t>
      </w:r>
      <w:r w:rsidR="00FF1D85">
        <w:rPr>
          <w:color w:val="000000"/>
          <w:lang w:val="en-US"/>
        </w:rPr>
        <w:t>yanos</w:t>
      </w:r>
      <w:r w:rsidR="00FF1D85" w:rsidRPr="00FF1D85">
        <w:rPr>
          <w:color w:val="000000"/>
        </w:rPr>
        <w:t>.</w:t>
      </w:r>
      <w:r w:rsidR="00FF1D85">
        <w:rPr>
          <w:color w:val="000000"/>
          <w:lang w:val="en-US"/>
        </w:rPr>
        <w:t>slavneft</w:t>
      </w:r>
      <w:r w:rsidR="00FF1D85" w:rsidRPr="00FF1D85">
        <w:rPr>
          <w:color w:val="000000"/>
        </w:rPr>
        <w:t>.</w:t>
      </w:r>
      <w:r w:rsidR="00FF1D85">
        <w:rPr>
          <w:color w:val="000000"/>
          <w:lang w:val="en-US"/>
        </w:rPr>
        <w:t>ru</w:t>
      </w:r>
      <w:r w:rsidRPr="006A0642">
        <w:rPr>
          <w:color w:val="000000"/>
        </w:rPr>
        <w:t xml:space="preserve">. В жалобе указываются: обжалуемое вынесенное решение ПАО «Славнефть-ЯНОС», обжалуемые действия (бездействие) </w:t>
      </w:r>
    </w:p>
    <w:p w:rsidR="006A0642" w:rsidRPr="006A0642" w:rsidRDefault="006A0642" w:rsidP="006A0642">
      <w:pPr>
        <w:ind w:firstLine="708"/>
        <w:jc w:val="both"/>
        <w:rPr>
          <w:color w:val="000000"/>
        </w:rPr>
      </w:pPr>
      <w:r w:rsidRPr="006A0642">
        <w:rPr>
          <w:color w:val="000000"/>
        </w:rPr>
        <w:t>ПАО «Славнефть-ЯНОС»; нормы Положения № ИАО-3006 «О закупке материально-технических ресурсов, работ, услуг»,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6A0642" w:rsidRDefault="006A0642" w:rsidP="006A0642">
      <w:pPr>
        <w:ind w:firstLine="708"/>
        <w:jc w:val="both"/>
        <w:rPr>
          <w:color w:val="000000"/>
        </w:rPr>
      </w:pPr>
      <w:r w:rsidRPr="006A0642">
        <w:rPr>
          <w:color w:val="000000"/>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3D2698" w:rsidRDefault="003D2698" w:rsidP="006A0642">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ПАО «Славнефть-ЯНОС», так и в отношении них. Телефон «Горячей линии»: +7 (4852) 49-93-33, электронная почта </w:t>
      </w:r>
      <w:hyperlink r:id="rId12" w:history="1">
        <w:r>
          <w:rPr>
            <w:rStyle w:val="af6"/>
          </w:rPr>
          <w:t>hotline@yanos.slavneft.ru</w:t>
        </w:r>
      </w:hyperlink>
    </w:p>
    <w:p w:rsidR="001F6A0B" w:rsidRDefault="001F6A0B" w:rsidP="001F6A0B"/>
    <w:p w:rsidR="001F6A0B" w:rsidRDefault="001F6A0B" w:rsidP="001F6A0B">
      <w:r>
        <w:t xml:space="preserve">Перечень документов в составе </w:t>
      </w:r>
      <w:r w:rsidR="008C6DF4">
        <w:t>закупочной процедуры</w:t>
      </w:r>
      <w:r>
        <w:t xml:space="preserve"> № ___________ от ____________:</w:t>
      </w:r>
    </w:p>
    <w:p w:rsidR="001F6A0B" w:rsidRDefault="001F6A0B" w:rsidP="001F6A0B"/>
    <w:p w:rsidR="007C4933" w:rsidRPr="00320F4C" w:rsidRDefault="00E901A3" w:rsidP="00320F4C">
      <w:pPr>
        <w:pStyle w:val="affd"/>
        <w:numPr>
          <w:ilvl w:val="0"/>
          <w:numId w:val="31"/>
        </w:numPr>
        <w:ind w:left="0" w:firstLine="284"/>
        <w:jc w:val="both"/>
      </w:pPr>
      <w:r>
        <w:t xml:space="preserve">Форма </w:t>
      </w:r>
      <w:r w:rsidR="00A53594">
        <w:t>1</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A53594">
        <w:t>2</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t xml:space="preserve">Форма </w:t>
      </w:r>
      <w:r w:rsidR="00A53594">
        <w:t>3</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A53594">
        <w:t xml:space="preserve">4Т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A53594">
        <w:t xml:space="preserve">4К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A53594" w:rsidRDefault="00A53594" w:rsidP="00A53594">
      <w:pPr>
        <w:pStyle w:val="affd"/>
        <w:numPr>
          <w:ilvl w:val="0"/>
          <w:numId w:val="31"/>
        </w:numPr>
        <w:ind w:left="0" w:firstLine="284"/>
        <w:jc w:val="both"/>
      </w:pPr>
      <w:r>
        <w:t>Форма 5,6</w:t>
      </w:r>
      <w:r w:rsidRPr="00320F4C">
        <w:t xml:space="preserve"> на 2</w:t>
      </w:r>
      <w:r>
        <w:t xml:space="preserve"> </w:t>
      </w:r>
      <w:r w:rsidRPr="00320F4C">
        <w:t>л. в 1 экз.</w:t>
      </w:r>
    </w:p>
    <w:p w:rsidR="007C4933" w:rsidRPr="00320F4C" w:rsidRDefault="00E901A3" w:rsidP="00320F4C">
      <w:pPr>
        <w:pStyle w:val="affd"/>
        <w:numPr>
          <w:ilvl w:val="0"/>
          <w:numId w:val="31"/>
        </w:numPr>
        <w:ind w:left="0" w:firstLine="284"/>
        <w:jc w:val="both"/>
      </w:pPr>
      <w:r>
        <w:t xml:space="preserve">Форма </w:t>
      </w:r>
      <w:r w:rsidR="00A53594">
        <w:t>7</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3023A7" w:rsidRDefault="003023A7" w:rsidP="001F6A0B"/>
    <w:p w:rsidR="00385029" w:rsidRDefault="00385029" w:rsidP="00385029">
      <w:pPr>
        <w:rPr>
          <w:b/>
        </w:rPr>
      </w:pPr>
    </w:p>
    <w:sectPr w:rsidR="00385029" w:rsidSect="00385029">
      <w:headerReference w:type="default" r:id="rId13"/>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CF3" w:rsidRDefault="00270CF3">
      <w:r>
        <w:separator/>
      </w:r>
    </w:p>
  </w:endnote>
  <w:endnote w:type="continuationSeparator" w:id="0">
    <w:p w:rsidR="00270CF3" w:rsidRDefault="0027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CF3" w:rsidRDefault="00270CF3">
      <w:r>
        <w:separator/>
      </w:r>
    </w:p>
  </w:footnote>
  <w:footnote w:type="continuationSeparator" w:id="0">
    <w:p w:rsidR="00270CF3" w:rsidRDefault="0027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0CC5"/>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3EF7"/>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228"/>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49EE"/>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5F1F"/>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606"/>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0CF3"/>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241"/>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4BB"/>
    <w:rsid w:val="003A2614"/>
    <w:rsid w:val="003A3626"/>
    <w:rsid w:val="003A381B"/>
    <w:rsid w:val="003A3927"/>
    <w:rsid w:val="003A3EC2"/>
    <w:rsid w:val="003A45DA"/>
    <w:rsid w:val="003A49B2"/>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166B"/>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31"/>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99"/>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480D"/>
    <w:rsid w:val="004B59EC"/>
    <w:rsid w:val="004B6258"/>
    <w:rsid w:val="004B672F"/>
    <w:rsid w:val="004B6A1D"/>
    <w:rsid w:val="004B6C20"/>
    <w:rsid w:val="004B7345"/>
    <w:rsid w:val="004B7539"/>
    <w:rsid w:val="004C070B"/>
    <w:rsid w:val="004C0DD1"/>
    <w:rsid w:val="004C0F2D"/>
    <w:rsid w:val="004C140E"/>
    <w:rsid w:val="004C1583"/>
    <w:rsid w:val="004C23F9"/>
    <w:rsid w:val="004C2938"/>
    <w:rsid w:val="004C2F05"/>
    <w:rsid w:val="004C33EA"/>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2FC9"/>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3F22"/>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642"/>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1898"/>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2AC8"/>
    <w:rsid w:val="006F44AC"/>
    <w:rsid w:val="006F467E"/>
    <w:rsid w:val="006F5BC1"/>
    <w:rsid w:val="006F5ED4"/>
    <w:rsid w:val="006F678D"/>
    <w:rsid w:val="006F75F2"/>
    <w:rsid w:val="00701A06"/>
    <w:rsid w:val="0070281A"/>
    <w:rsid w:val="00704124"/>
    <w:rsid w:val="007043E2"/>
    <w:rsid w:val="00704533"/>
    <w:rsid w:val="00704BE6"/>
    <w:rsid w:val="00704CFF"/>
    <w:rsid w:val="007058A8"/>
    <w:rsid w:val="00705CE2"/>
    <w:rsid w:val="007066B6"/>
    <w:rsid w:val="00706C5E"/>
    <w:rsid w:val="007076E3"/>
    <w:rsid w:val="007100B9"/>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1EDA"/>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52C7"/>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6DF4"/>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228"/>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1B4C"/>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0F7B"/>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1C43"/>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3594"/>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06A6"/>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02F"/>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4F4"/>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287"/>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64F"/>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37BC2"/>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58D9"/>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4DE0"/>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1B5B"/>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1F4E"/>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249"/>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415"/>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50D1"/>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379F"/>
    <w:rsid w:val="00F040F1"/>
    <w:rsid w:val="00F04513"/>
    <w:rsid w:val="00F04A8A"/>
    <w:rsid w:val="00F05A9D"/>
    <w:rsid w:val="00F06607"/>
    <w:rsid w:val="00F07520"/>
    <w:rsid w:val="00F10582"/>
    <w:rsid w:val="00F11682"/>
    <w:rsid w:val="00F1173B"/>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062"/>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2C97"/>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3A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D85"/>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C6028"/>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tline@yanos.slavnef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B6C7-4EB2-4DBB-B7B5-F05C4474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2275</Words>
  <Characters>16241</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18480</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58</cp:revision>
  <cp:lastPrinted>2024-09-10T05:18:00Z</cp:lastPrinted>
  <dcterms:created xsi:type="dcterms:W3CDTF">2022-09-19T12:01:00Z</dcterms:created>
  <dcterms:modified xsi:type="dcterms:W3CDTF">2025-04-01T06:06:00Z</dcterms:modified>
</cp:coreProperties>
</file>